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Внутренний контроль и аудит</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«Внутренний контроль и аудит».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организацию и осуществление внутреннего контроля и внутреннего аудита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методы поиска, отбора, анализа и систематизации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основы этики делового общения, коммуникаций и корпоративной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«Внутренний контроль и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pPr>
              <w:jc w:val="both"/>
              <w:spacing w:after="0" w:line="240" w:lineRule="auto"/>
              <w:rPr>
                <w:sz w:val="24"/>
                <w:szCs w:val="24"/>
              </w:rPr>
            </w:pPr>
            <w:r>
              <w:rPr>
                <w:rFonts w:ascii="Times New Roman" w:hAnsi="Times New Roman" w:cs="Times New Roman"/>
                <w:color w:val="#000000"/>
                <w:sz w:val="24"/>
                <w:szCs w:val="24"/>
              </w:rPr>
              <w:t> Российские и международные стандарты внутреннего контроля и аудита.</w:t>
            </w:r>
          </w:p>
          <w:p>
            <w:pPr>
              <w:jc w:val="both"/>
              <w:spacing w:after="0" w:line="240" w:lineRule="auto"/>
              <w:rPr>
                <w:sz w:val="24"/>
                <w:szCs w:val="24"/>
              </w:rPr>
            </w:pPr>
            <w:r>
              <w:rPr>
                <w:rFonts w:ascii="Times New Roman" w:hAnsi="Times New Roman" w:cs="Times New Roman"/>
                <w:color w:val="#000000"/>
                <w:sz w:val="24"/>
                <w:szCs w:val="24"/>
              </w:rPr>
              <w:t> 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внутреннего контроля. Модели внутреннего контроля.  Ад- министрирование  деятельности  внутреннего  контроля.</w:t>
            </w:r>
          </w:p>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pPr>
              <w:jc w:val="both"/>
              <w:spacing w:after="0" w:line="240" w:lineRule="auto"/>
              <w:rPr>
                <w:sz w:val="24"/>
                <w:szCs w:val="24"/>
              </w:rPr>
            </w:pPr>
            <w:r>
              <w:rPr>
                <w:rFonts w:ascii="Times New Roman" w:hAnsi="Times New Roman" w:cs="Times New Roman"/>
                <w:color w:val="#000000"/>
                <w:sz w:val="24"/>
                <w:szCs w:val="24"/>
              </w:rPr>
              <w:t> Виды оценки эффективности системы внутреннего контроля в рамках «трех линий защиты».</w:t>
            </w:r>
          </w:p>
          <w:p>
            <w:pPr>
              <w:jc w:val="both"/>
              <w:spacing w:after="0" w:line="240" w:lineRule="auto"/>
              <w:rPr>
                <w:sz w:val="24"/>
                <w:szCs w:val="24"/>
              </w:rPr>
            </w:pPr>
            <w:r>
              <w:rPr>
                <w:rFonts w:ascii="Times New Roman" w:hAnsi="Times New Roman" w:cs="Times New Roman"/>
                <w:color w:val="#000000"/>
                <w:sz w:val="24"/>
                <w:szCs w:val="24"/>
              </w:rPr>
              <w:t> Процедуры внутреннего контроля. Разделение обязанностей по утверждению операций. Учет операций. Обеспечение сохранности активов.</w:t>
            </w:r>
          </w:p>
          <w:p>
            <w:pPr>
              <w:jc w:val="both"/>
              <w:spacing w:after="0" w:line="240" w:lineRule="auto"/>
              <w:rPr>
                <w:sz w:val="24"/>
                <w:szCs w:val="24"/>
              </w:rPr>
            </w:pPr>
            <w:r>
              <w:rPr>
                <w:rFonts w:ascii="Times New Roman" w:hAnsi="Times New Roman" w:cs="Times New Roman"/>
                <w:color w:val="#000000"/>
                <w:sz w:val="24"/>
                <w:szCs w:val="24"/>
              </w:rPr>
              <w:t> Организационные, функциональные и управленческие методы. Политики. Персо-нал. Бухгалтерский учет и отчетность. Бюджет доходов и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pPr>
              <w:jc w:val="both"/>
              <w:spacing w:after="0" w:line="240" w:lineRule="auto"/>
              <w:rPr>
                <w:sz w:val="24"/>
                <w:szCs w:val="24"/>
              </w:rPr>
            </w:pPr>
            <w:r>
              <w:rPr>
                <w:rFonts w:ascii="Times New Roman" w:hAnsi="Times New Roman" w:cs="Times New Roman"/>
                <w:color w:val="#000000"/>
                <w:sz w:val="24"/>
                <w:szCs w:val="24"/>
              </w:rPr>
              <w:t> Документирование аудита. Ресурсное обеспечение аудита. Достоверность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Формы внутренних проверок. Мониторинг, измерение, анализ и изучение, процедуры контроля.</w:t>
            </w:r>
          </w:p>
          <w:p>
            <w:pPr>
              <w:jc w:val="both"/>
              <w:spacing w:after="0" w:line="240" w:lineRule="auto"/>
              <w:rPr>
                <w:sz w:val="24"/>
                <w:szCs w:val="24"/>
              </w:rPr>
            </w:pPr>
            <w:r>
              <w:rPr>
                <w:rFonts w:ascii="Times New Roman" w:hAnsi="Times New Roman" w:cs="Times New Roman"/>
                <w:color w:val="#000000"/>
                <w:sz w:val="24"/>
                <w:szCs w:val="24"/>
              </w:rPr>
              <w:t> Процедуры взаимодействия с руководством хозяйствующего субъекта и внешним аудитом.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378.4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pPr>
              <w:jc w:val="both"/>
              <w:spacing w:after="0" w:line="240" w:lineRule="auto"/>
              <w:rPr>
                <w:sz w:val="24"/>
                <w:szCs w:val="24"/>
              </w:rPr>
            </w:pPr>
            <w:r>
              <w:rPr>
                <w:rFonts w:ascii="Times New Roman" w:hAnsi="Times New Roman" w:cs="Times New Roman"/>
                <w:color w:val="#000000"/>
                <w:sz w:val="24"/>
                <w:szCs w:val="24"/>
              </w:rPr>
              <w:t> Внутренний контроль совершаемых фактов хозяйственной жизни. Определение  уровня существенности фактов хозяйственной жизни. Методика проведения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Отчетность системы внутреннего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Риск-ориентированный подход во внутреннем аудите. Риск-индикаторы. Виды риска. Оценка уровня риска.</w:t>
            </w:r>
          </w:p>
          <w:p>
            <w:pPr>
              <w:jc w:val="both"/>
              <w:spacing w:after="0" w:line="240" w:lineRule="auto"/>
              <w:rPr>
                <w:sz w:val="24"/>
                <w:szCs w:val="24"/>
              </w:rPr>
            </w:pPr>
            <w:r>
              <w:rPr>
                <w:rFonts w:ascii="Times New Roman" w:hAnsi="Times New Roman" w:cs="Times New Roman"/>
                <w:color w:val="#000000"/>
                <w:sz w:val="24"/>
                <w:szCs w:val="24"/>
              </w:rPr>
              <w:t> 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pPr>
              <w:jc w:val="both"/>
              <w:spacing w:after="0" w:line="240" w:lineRule="auto"/>
              <w:rPr>
                <w:sz w:val="24"/>
                <w:szCs w:val="24"/>
              </w:rPr>
            </w:pPr>
            <w:r>
              <w:rPr>
                <w:rFonts w:ascii="Times New Roman" w:hAnsi="Times New Roman" w:cs="Times New Roman"/>
                <w:color w:val="#000000"/>
                <w:sz w:val="24"/>
                <w:szCs w:val="24"/>
              </w:rPr>
              <w:t> Основные положения Профессионального стандарта «Специалист по внутреннему контролю  (внутренний  контролер).  Профессиональный стандарт «Внутренний ауди- тор» - основные положения, сравнительная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«Внутренний контроль и аудит»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557.0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2024-2025_ФГОС3++2024_Бак-ОЗФО-Э(УАиА)(24)_plx_Внутренний контроль и аудит</dc:title>
  <dc:creator>FastReport.NET</dc:creator>
</cp:coreProperties>
</file>